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80D34D" w14:textId="66165B08" w:rsidR="00E93A86" w:rsidRDefault="00E93A86" w:rsidP="00E93A86">
      <w:pPr>
        <w:pStyle w:val="CH"/>
      </w:pPr>
      <w:bookmarkStart w:id="0" w:name="historyclause"/>
      <w:r w:rsidRPr="00B070F5">
        <w:t>3GPP RAN WG</w:t>
      </w:r>
      <w:r>
        <w:t>4</w:t>
      </w:r>
      <w:r w:rsidRPr="00B070F5">
        <w:t xml:space="preserve"> Meeting #</w:t>
      </w:r>
      <w:r>
        <w:t>93</w:t>
      </w:r>
      <w:r>
        <w:tab/>
      </w:r>
      <w:r>
        <w:tab/>
      </w:r>
      <w:r w:rsidRPr="00E93A86">
        <w:t>R4-191354</w:t>
      </w:r>
      <w:r w:rsidR="008332EE">
        <w:t>3</w:t>
      </w:r>
    </w:p>
    <w:p w14:paraId="50DC9730" w14:textId="160ACF2E" w:rsidR="00D309CC" w:rsidRPr="00FD166F" w:rsidRDefault="00E93A86" w:rsidP="00D46431">
      <w:pPr>
        <w:pStyle w:val="CH"/>
        <w:tabs>
          <w:tab w:val="clear" w:pos="7920"/>
        </w:tabs>
        <w:rPr>
          <w:b w:val="0"/>
        </w:rPr>
      </w:pPr>
      <w:r>
        <w:t>Reno</w:t>
      </w:r>
      <w:r w:rsidRPr="00B070F5">
        <w:t xml:space="preserve">, </w:t>
      </w:r>
      <w:r>
        <w:t>USA</w:t>
      </w:r>
      <w:r w:rsidRPr="00B070F5">
        <w:t xml:space="preserve">, </w:t>
      </w:r>
      <w:r>
        <w:t>18</w:t>
      </w:r>
      <w:r w:rsidRPr="00B070F5">
        <w:t xml:space="preserve"> – </w:t>
      </w:r>
      <w:r>
        <w:t>21</w:t>
      </w:r>
      <w:r w:rsidRPr="00B070F5">
        <w:t xml:space="preserve"> </w:t>
      </w:r>
      <w:r>
        <w:t>November</w:t>
      </w:r>
      <w:r w:rsidRPr="00B070F5">
        <w:t xml:space="preserve"> 2019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3752863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93A86">
        <w:t>9</w:t>
      </w:r>
      <w:r w:rsidR="00CA7253" w:rsidRPr="00CA7253">
        <w:t>.14.6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12344AA5" w14:textId="0CCC9560" w:rsidR="00CB4975" w:rsidRDefault="00CB4975" w:rsidP="00CB4975">
      <w:pPr>
        <w:pStyle w:val="CH"/>
        <w:ind w:left="2250" w:hanging="2250"/>
      </w:pPr>
      <w:r w:rsidRPr="0008103A">
        <w:t>Title:</w:t>
      </w:r>
      <w:r w:rsidRPr="0008103A">
        <w:tab/>
      </w:r>
      <w:r w:rsidR="008332EE" w:rsidRPr="008332EE">
        <w:t>Non-simultaneous Tx for FR2 inter-band UL CA</w:t>
      </w:r>
    </w:p>
    <w:p w14:paraId="052B1E0C" w14:textId="1A83A3B1" w:rsidR="00104BC6" w:rsidRDefault="00104BC6" w:rsidP="00D309CC">
      <w:pPr>
        <w:pStyle w:val="CH"/>
      </w:pPr>
      <w:r>
        <w:t>WI/SI:</w:t>
      </w:r>
      <w:r>
        <w:tab/>
      </w:r>
      <w:r w:rsidR="00CB4975" w:rsidRPr="008B1DF7">
        <w:t>NR_RF_FR2_req_enh</w:t>
      </w:r>
    </w:p>
    <w:p w14:paraId="6C6D1281" w14:textId="365DF4E7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CB4975">
        <w:t>Rel-</w:t>
      </w:r>
      <w:r w:rsidR="00CB4975" w:rsidRPr="00CB4975">
        <w:t>16</w:t>
      </w:r>
    </w:p>
    <w:p w14:paraId="2E4E044D" w14:textId="4710554E" w:rsidR="00D309CC" w:rsidRDefault="00D309CC" w:rsidP="00D309CC">
      <w:pPr>
        <w:pStyle w:val="CH"/>
      </w:pPr>
      <w:r>
        <w:t>Document for:</w:t>
      </w:r>
      <w:r>
        <w:tab/>
      </w:r>
      <w:r w:rsidR="00F7339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12126AD" w14:textId="7D661724" w:rsidR="00CB4975" w:rsidRDefault="00CB4975" w:rsidP="00CB4975">
      <w:r>
        <w:t xml:space="preserve">The Rel-16 FR2 RF work item includes the following scope related to non-simultaneous transmission for intra-band non-contiguous UL CA in FR2 </w:t>
      </w:r>
      <w:r>
        <w:fldChar w:fldCharType="begin"/>
      </w:r>
      <w:r>
        <w:instrText xml:space="preserve"> REF _Ref16575941 \r \h </w:instrText>
      </w:r>
      <w:r>
        <w:fldChar w:fldCharType="separate"/>
      </w:r>
      <w:r w:rsidR="008A7163">
        <w:t>[1]</w:t>
      </w:r>
      <w:r>
        <w:fldChar w:fldCharType="end"/>
      </w:r>
      <w:r>
        <w:t>:</w:t>
      </w:r>
    </w:p>
    <w:p w14:paraId="4972D7F6" w14:textId="77777777" w:rsidR="00DF3F59" w:rsidRDefault="00DF3F59" w:rsidP="00CB4975"/>
    <w:p w14:paraId="5FD57BBC" w14:textId="77777777" w:rsidR="00CB4975" w:rsidRPr="00271644" w:rsidRDefault="00CB4975" w:rsidP="00CB4975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1644">
        <w:t>-</w:t>
      </w:r>
      <w:r w:rsidRPr="00271644">
        <w:tab/>
        <w:t>Phase 1: Study if both simultaneous UE transmission on aggregated UL carriers and non-simultaneous transmission on aggregated UL carriers with UE switching between two non-contiguous carriers could and should be specified. Study potential impacts of non-simultaneous transmission on RAN1 and/or RAN2 specifications</w:t>
      </w:r>
    </w:p>
    <w:p w14:paraId="1BF8C0AD" w14:textId="77777777" w:rsidR="00CB4975" w:rsidRPr="00271644" w:rsidRDefault="00CB4975" w:rsidP="00CB4975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1644">
        <w:t>-</w:t>
      </w:r>
      <w:r w:rsidRPr="00271644">
        <w:tab/>
        <w:t>Phase 2: Define FR2 UE requirements for non-contiguous intra-band UL CA based on the outcome of the Phase 1 study</w:t>
      </w:r>
    </w:p>
    <w:p w14:paraId="3BB7F8D4" w14:textId="3FF91C88" w:rsidR="004169CB" w:rsidRPr="00271644" w:rsidRDefault="004169CB" w:rsidP="004169CB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1644">
        <w:t>-</w:t>
      </w:r>
      <w:r w:rsidRPr="00271644">
        <w:tab/>
        <w:t>PCC with PRB allocation, SCC and other CCs without PRB allocation</w:t>
      </w:r>
    </w:p>
    <w:p w14:paraId="528FE776" w14:textId="258BE280" w:rsidR="004169CB" w:rsidRDefault="00E93A86" w:rsidP="00CB4975">
      <w:r>
        <w:t xml:space="preserve">The following agreements were reached during the RAN4 #92bis meeting </w:t>
      </w:r>
      <w:r>
        <w:fldChar w:fldCharType="begin"/>
      </w:r>
      <w:r>
        <w:instrText xml:space="preserve"> REF _Ref24083416 \r \h </w:instrText>
      </w:r>
      <w:r>
        <w:fldChar w:fldCharType="separate"/>
      </w:r>
      <w:r w:rsidR="008A7163">
        <w:t>[3]</w:t>
      </w:r>
      <w:r>
        <w:fldChar w:fldCharType="end"/>
      </w:r>
      <w:r w:rsidR="00A00460">
        <w:t>:</w:t>
      </w:r>
    </w:p>
    <w:p w14:paraId="2FA5F3FC" w14:textId="77777777" w:rsidR="00E93A86" w:rsidRDefault="00E93A86" w:rsidP="00CB497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37C9D" w14:paraId="26167BB1" w14:textId="77777777" w:rsidTr="00B37C9D">
        <w:tc>
          <w:tcPr>
            <w:tcW w:w="9631" w:type="dxa"/>
          </w:tcPr>
          <w:p w14:paraId="22A88FF8" w14:textId="77777777" w:rsidR="00B37C9D" w:rsidRPr="00B37C9D" w:rsidRDefault="00B37C9D" w:rsidP="00B37C9D">
            <w:pPr>
              <w:rPr>
                <w:sz w:val="20"/>
                <w:szCs w:val="20"/>
                <w:lang w:val="sv-SE"/>
              </w:rPr>
            </w:pPr>
            <w:proofErr w:type="spellStart"/>
            <w:r w:rsidRPr="00B37C9D">
              <w:rPr>
                <w:sz w:val="20"/>
                <w:szCs w:val="20"/>
                <w:lang w:val="sv-SE"/>
              </w:rPr>
              <w:t>Occupied</w:t>
            </w:r>
            <w:proofErr w:type="spellEnd"/>
            <w:r w:rsidRPr="00B37C9D">
              <w:rPr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B37C9D">
              <w:rPr>
                <w:sz w:val="20"/>
                <w:szCs w:val="20"/>
                <w:lang w:val="sv-SE"/>
              </w:rPr>
              <w:t>bandwidth</w:t>
            </w:r>
            <w:proofErr w:type="spellEnd"/>
            <w:r w:rsidRPr="00B37C9D">
              <w:rPr>
                <w:sz w:val="20"/>
                <w:szCs w:val="20"/>
                <w:lang w:val="sv-SE"/>
              </w:rPr>
              <w:t xml:space="preserve"> for CA</w:t>
            </w:r>
          </w:p>
          <w:p w14:paraId="37A7D3B8" w14:textId="77777777" w:rsidR="00B37C9D" w:rsidRPr="00B37C9D" w:rsidRDefault="00B37C9D" w:rsidP="00B37C9D">
            <w:pPr>
              <w:pStyle w:val="B1"/>
            </w:pPr>
            <w:r w:rsidRPr="00B37C9D">
              <w:t>-</w:t>
            </w:r>
            <w:r w:rsidRPr="00B37C9D">
              <w:tab/>
              <w:t>As described in [4], the requirement for occupied bandwidth for CA is:</w:t>
            </w:r>
          </w:p>
          <w:p w14:paraId="3C71FD48" w14:textId="77777777" w:rsidR="00B37C9D" w:rsidRPr="00B37C9D" w:rsidRDefault="00B37C9D" w:rsidP="00B37C9D">
            <w:pPr>
              <w:pStyle w:val="B2"/>
            </w:pPr>
            <w:r w:rsidRPr="00B37C9D">
              <w:t>-</w:t>
            </w:r>
            <w:r w:rsidRPr="00B37C9D">
              <w:tab/>
              <w:t>For intra-band non-contiguous carrier aggregation, the OBW requirement is met when the ratio of the transmitted power in all sub-blocks of the uplink CA configuration to the total integrated power of the transmitted spectrum is greater than 99%.</w:t>
            </w:r>
          </w:p>
          <w:p w14:paraId="7C0E78E9" w14:textId="77777777" w:rsidR="00B37C9D" w:rsidRPr="00B37C9D" w:rsidRDefault="00B37C9D" w:rsidP="00B37C9D">
            <w:pPr>
              <w:pStyle w:val="B1"/>
            </w:pPr>
            <w:r w:rsidRPr="00B37C9D">
              <w:t>-</w:t>
            </w:r>
            <w:r w:rsidRPr="00B37C9D">
              <w:tab/>
              <w:t>This agreement is captured in a TP to TR38.831</w:t>
            </w:r>
          </w:p>
          <w:p w14:paraId="524186F8" w14:textId="77777777" w:rsidR="00B37C9D" w:rsidRPr="00B37C9D" w:rsidRDefault="00B37C9D" w:rsidP="00B37C9D">
            <w:pPr>
              <w:rPr>
                <w:sz w:val="20"/>
                <w:szCs w:val="20"/>
              </w:rPr>
            </w:pPr>
            <w:r w:rsidRPr="00B37C9D">
              <w:rPr>
                <w:sz w:val="20"/>
                <w:szCs w:val="20"/>
              </w:rPr>
              <w:t>Remaining issues with NC UL CA MPR</w:t>
            </w:r>
          </w:p>
          <w:p w14:paraId="36E3A98B" w14:textId="77777777" w:rsidR="00B37C9D" w:rsidRPr="00B37C9D" w:rsidRDefault="00B37C9D" w:rsidP="00B37C9D">
            <w:pPr>
              <w:pStyle w:val="B1"/>
            </w:pPr>
            <w:r w:rsidRPr="00B37C9D">
              <w:t>-</w:t>
            </w:r>
            <w:r w:rsidRPr="00B37C9D">
              <w:tab/>
              <w:t xml:space="preserve">Emissions in the spurious domain shall be </w:t>
            </w:r>
            <w:proofErr w:type="gramStart"/>
            <w:r w:rsidRPr="00B37C9D">
              <w:t>taken into account</w:t>
            </w:r>
            <w:proofErr w:type="gramEnd"/>
            <w:r w:rsidRPr="00B37C9D">
              <w:t xml:space="preserve"> in the NC UL CA MPR requirement</w:t>
            </w:r>
          </w:p>
          <w:p w14:paraId="56EBFDFB" w14:textId="77777777" w:rsidR="00B37C9D" w:rsidRPr="00B37C9D" w:rsidRDefault="00B37C9D" w:rsidP="00B37C9D">
            <w:pPr>
              <w:pStyle w:val="B1"/>
            </w:pPr>
            <w:r w:rsidRPr="00B37C9D">
              <w:t>-</w:t>
            </w:r>
            <w:r w:rsidRPr="00B37C9D">
              <w:tab/>
              <w:t>Number of gaps between sub-blocks shall be at least 1</w:t>
            </w:r>
          </w:p>
          <w:p w14:paraId="367B60C6" w14:textId="77777777" w:rsidR="00B37C9D" w:rsidRPr="00B37C9D" w:rsidRDefault="00B37C9D" w:rsidP="00B37C9D">
            <w:pPr>
              <w:rPr>
                <w:sz w:val="20"/>
                <w:szCs w:val="20"/>
              </w:rPr>
            </w:pPr>
            <w:r w:rsidRPr="00B37C9D">
              <w:rPr>
                <w:sz w:val="20"/>
                <w:szCs w:val="20"/>
              </w:rPr>
              <w:t>Non-simultaneous uplink in NC carriers (1)</w:t>
            </w:r>
          </w:p>
          <w:p w14:paraId="363C568F" w14:textId="77777777" w:rsidR="00B37C9D" w:rsidRPr="00B37C9D" w:rsidRDefault="00B37C9D" w:rsidP="00B37C9D">
            <w:pPr>
              <w:pStyle w:val="B1"/>
            </w:pPr>
            <w:r w:rsidRPr="00B37C9D">
              <w:t>-</w:t>
            </w:r>
            <w:r w:rsidRPr="00B37C9D">
              <w:tab/>
              <w:t>Definitions</w:t>
            </w:r>
          </w:p>
          <w:p w14:paraId="43D1827E" w14:textId="77777777" w:rsidR="00B37C9D" w:rsidRPr="00B37C9D" w:rsidRDefault="00B37C9D" w:rsidP="00B37C9D">
            <w:pPr>
              <w:pStyle w:val="B2"/>
            </w:pPr>
            <w:r w:rsidRPr="00B37C9D">
              <w:t>-</w:t>
            </w:r>
            <w:r w:rsidRPr="00B37C9D">
              <w:tab/>
              <w:t>Simultaneous operation refers to active and allocated UL CCs in multiple non-contiguous sub-blocks</w:t>
            </w:r>
          </w:p>
          <w:p w14:paraId="5787EDBE" w14:textId="77777777" w:rsidR="00B37C9D" w:rsidRPr="00B37C9D" w:rsidRDefault="00B37C9D" w:rsidP="00B37C9D">
            <w:pPr>
              <w:pStyle w:val="B2"/>
            </w:pPr>
            <w:r w:rsidRPr="00B37C9D">
              <w:t>-</w:t>
            </w:r>
            <w:r w:rsidRPr="00B37C9D">
              <w:tab/>
              <w:t>Non-simultaneous operation refers to active and allocated UL CCs in a single sub-block of contiguous carriers</w:t>
            </w:r>
          </w:p>
          <w:p w14:paraId="14B8874A" w14:textId="77777777" w:rsidR="00B37C9D" w:rsidRPr="00B37C9D" w:rsidRDefault="00B37C9D" w:rsidP="00B37C9D">
            <w:pPr>
              <w:pStyle w:val="B1"/>
            </w:pPr>
            <w:r w:rsidRPr="00B37C9D">
              <w:t>-</w:t>
            </w:r>
            <w:r w:rsidRPr="00B37C9D">
              <w:tab/>
              <w:t>Proposed mechanisms to enable non-simultaneous operation</w:t>
            </w:r>
          </w:p>
          <w:p w14:paraId="062ADFA1" w14:textId="77777777" w:rsidR="00B37C9D" w:rsidRPr="00B37C9D" w:rsidRDefault="00B37C9D" w:rsidP="00B37C9D">
            <w:pPr>
              <w:pStyle w:val="B2"/>
            </w:pPr>
            <w:r w:rsidRPr="00B37C9D">
              <w:t>-</w:t>
            </w:r>
            <w:r w:rsidRPr="00B37C9D">
              <w:tab/>
              <w:t>Alt.1: apply the BWP switching framework</w:t>
            </w:r>
          </w:p>
          <w:p w14:paraId="35D1CA61" w14:textId="77777777" w:rsidR="00B37C9D" w:rsidRPr="00B37C9D" w:rsidRDefault="00B37C9D" w:rsidP="00B37C9D">
            <w:pPr>
              <w:pStyle w:val="B3"/>
            </w:pPr>
            <w:r w:rsidRPr="00B37C9D">
              <w:t>-</w:t>
            </w:r>
            <w:r w:rsidRPr="00B37C9D">
              <w:tab/>
              <w:t>DCI-based, RRC-based, and timer-based scenarios are not precluded</w:t>
            </w:r>
          </w:p>
          <w:p w14:paraId="4C4DA921" w14:textId="77777777" w:rsidR="00B37C9D" w:rsidRPr="00B37C9D" w:rsidRDefault="00B37C9D" w:rsidP="00B37C9D">
            <w:pPr>
              <w:pStyle w:val="B2"/>
            </w:pPr>
            <w:r w:rsidRPr="00B37C9D">
              <w:t>-</w:t>
            </w:r>
            <w:r w:rsidRPr="00B37C9D">
              <w:tab/>
              <w:t xml:space="preserve">Alt.2: apply the MAC CE based </w:t>
            </w:r>
            <w:proofErr w:type="spellStart"/>
            <w:r w:rsidRPr="00B37C9D">
              <w:t>SCell</w:t>
            </w:r>
            <w:proofErr w:type="spellEnd"/>
            <w:r w:rsidRPr="00B37C9D">
              <w:t xml:space="preserve"> activation framework</w:t>
            </w:r>
          </w:p>
          <w:p w14:paraId="5A5E322D" w14:textId="77777777" w:rsidR="00B37C9D" w:rsidRPr="00B37C9D" w:rsidRDefault="00B37C9D" w:rsidP="00B37C9D">
            <w:pPr>
              <w:pStyle w:val="B3"/>
            </w:pPr>
            <w:r w:rsidRPr="00B37C9D">
              <w:t>-</w:t>
            </w:r>
            <w:r w:rsidRPr="00B37C9D">
              <w:tab/>
              <w:t>UL and DL are activated and deactivated together</w:t>
            </w:r>
          </w:p>
          <w:p w14:paraId="6AB7C45B" w14:textId="77777777" w:rsidR="00B37C9D" w:rsidRPr="00B37C9D" w:rsidRDefault="00B37C9D" w:rsidP="00B37C9D">
            <w:pPr>
              <w:pStyle w:val="B2"/>
            </w:pPr>
            <w:r w:rsidRPr="00B37C9D">
              <w:lastRenderedPageBreak/>
              <w:t>-</w:t>
            </w:r>
            <w:r w:rsidRPr="00B37C9D">
              <w:tab/>
              <w:t xml:space="preserve">Alt.3: apply the RRC based </w:t>
            </w:r>
            <w:proofErr w:type="spellStart"/>
            <w:r w:rsidRPr="00B37C9D">
              <w:t>SCell</w:t>
            </w:r>
            <w:proofErr w:type="spellEnd"/>
            <w:r w:rsidRPr="00B37C9D">
              <w:t xml:space="preserve"> configuration framework</w:t>
            </w:r>
          </w:p>
          <w:p w14:paraId="26F4D95C" w14:textId="77777777" w:rsidR="00B37C9D" w:rsidRPr="00B37C9D" w:rsidRDefault="00B37C9D" w:rsidP="00B37C9D">
            <w:pPr>
              <w:pStyle w:val="B3"/>
            </w:pPr>
            <w:r w:rsidRPr="00B37C9D">
              <w:t>-</w:t>
            </w:r>
            <w:r w:rsidRPr="00B37C9D">
              <w:tab/>
              <w:t>Only Alt.3 is applicable to SA FR2+FR2 CA or NSA LTE+FR2+FR2 DC scenarios</w:t>
            </w:r>
          </w:p>
          <w:p w14:paraId="1A437365" w14:textId="77777777" w:rsidR="00B37C9D" w:rsidRPr="00B37C9D" w:rsidRDefault="00B37C9D" w:rsidP="00B37C9D">
            <w:pPr>
              <w:rPr>
                <w:sz w:val="20"/>
                <w:szCs w:val="20"/>
              </w:rPr>
            </w:pPr>
          </w:p>
          <w:p w14:paraId="28AE9C6B" w14:textId="77777777" w:rsidR="00B37C9D" w:rsidRPr="00B37C9D" w:rsidRDefault="00B37C9D" w:rsidP="00B37C9D">
            <w:pPr>
              <w:jc w:val="center"/>
              <w:rPr>
                <w:sz w:val="20"/>
                <w:szCs w:val="20"/>
              </w:rPr>
            </w:pPr>
            <w:r w:rsidRPr="00B37C9D">
              <w:rPr>
                <w:noProof/>
                <w:sz w:val="20"/>
                <w:szCs w:val="20"/>
              </w:rPr>
              <w:drawing>
                <wp:inline distT="0" distB="0" distL="0" distR="0" wp14:anchorId="251561F0" wp14:editId="405AEB2F">
                  <wp:extent cx="3657600" cy="4150035"/>
                  <wp:effectExtent l="0" t="0" r="0" b="31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0" cy="415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B38D96" w14:textId="77777777" w:rsidR="00B37C9D" w:rsidRPr="00B37C9D" w:rsidRDefault="00B37C9D" w:rsidP="00B37C9D">
            <w:pPr>
              <w:rPr>
                <w:sz w:val="20"/>
                <w:szCs w:val="20"/>
              </w:rPr>
            </w:pPr>
          </w:p>
          <w:p w14:paraId="7C4B8FBA" w14:textId="77777777" w:rsidR="00B37C9D" w:rsidRPr="00B37C9D" w:rsidRDefault="00B37C9D" w:rsidP="00B37C9D">
            <w:pPr>
              <w:rPr>
                <w:sz w:val="20"/>
                <w:szCs w:val="20"/>
              </w:rPr>
            </w:pPr>
            <w:r w:rsidRPr="00B37C9D">
              <w:rPr>
                <w:sz w:val="20"/>
                <w:szCs w:val="20"/>
              </w:rPr>
              <w:t>Non-simultaneous uplink in NC carriers (2)</w:t>
            </w:r>
          </w:p>
          <w:p w14:paraId="79D5C369" w14:textId="77777777" w:rsidR="00B37C9D" w:rsidRPr="00B37C9D" w:rsidRDefault="00B37C9D" w:rsidP="00B37C9D">
            <w:pPr>
              <w:pStyle w:val="B1"/>
            </w:pPr>
            <w:r w:rsidRPr="00B37C9D">
              <w:t>-</w:t>
            </w:r>
            <w:r w:rsidRPr="00B37C9D">
              <w:tab/>
              <w:t>RAN4 will further study the benefit of non-simultaneous UL in non-contiguous carriers from the points of view of improved output power due to reduced MPR and reduced power consumption, e.g., FR1 (</w:t>
            </w:r>
            <w:proofErr w:type="spellStart"/>
            <w:r w:rsidRPr="00B37C9D">
              <w:t>pcell</w:t>
            </w:r>
            <w:proofErr w:type="spellEnd"/>
            <w:r w:rsidRPr="00B37C9D">
              <w:t>) + FR2 (</w:t>
            </w:r>
            <w:proofErr w:type="spellStart"/>
            <w:r w:rsidRPr="00B37C9D">
              <w:t>scells</w:t>
            </w:r>
            <w:proofErr w:type="spellEnd"/>
            <w:r w:rsidRPr="00B37C9D">
              <w:t>) configuration</w:t>
            </w:r>
          </w:p>
          <w:p w14:paraId="18B68244" w14:textId="77777777" w:rsidR="00B37C9D" w:rsidRPr="00B37C9D" w:rsidRDefault="00B37C9D" w:rsidP="00B37C9D">
            <w:pPr>
              <w:pStyle w:val="B1"/>
            </w:pPr>
            <w:r w:rsidRPr="00B37C9D">
              <w:t>-</w:t>
            </w:r>
            <w:r w:rsidRPr="00B37C9D">
              <w:tab/>
              <w:t>RAN4 will further study the feasibility of non-simultaneous UL in non-contiguous carriers</w:t>
            </w:r>
          </w:p>
          <w:p w14:paraId="2CB02C91" w14:textId="77777777" w:rsidR="00B37C9D" w:rsidRPr="00B37C9D" w:rsidRDefault="00B37C9D" w:rsidP="00B37C9D">
            <w:pPr>
              <w:pStyle w:val="B1"/>
            </w:pPr>
            <w:r w:rsidRPr="00B37C9D">
              <w:t>-</w:t>
            </w:r>
            <w:r w:rsidRPr="00B37C9D">
              <w:tab/>
              <w:t xml:space="preserve">The switching mechanism shall be down-selected between Alt.1, Alt.2, and Alt.3 during the RAN #93 meeting. </w:t>
            </w:r>
          </w:p>
          <w:p w14:paraId="7DAA838C" w14:textId="77777777" w:rsidR="00B37C9D" w:rsidRPr="00B37C9D" w:rsidRDefault="00B37C9D" w:rsidP="00B37C9D">
            <w:pPr>
              <w:pStyle w:val="B2"/>
            </w:pPr>
            <w:r w:rsidRPr="00B37C9D">
              <w:t>-</w:t>
            </w:r>
            <w:r w:rsidRPr="00B37C9D">
              <w:tab/>
              <w:t>Other options are not precluded</w:t>
            </w:r>
          </w:p>
          <w:p w14:paraId="1185A000" w14:textId="77777777" w:rsidR="00B37C9D" w:rsidRPr="00B37C9D" w:rsidRDefault="00B37C9D" w:rsidP="00B37C9D">
            <w:pPr>
              <w:rPr>
                <w:sz w:val="20"/>
                <w:szCs w:val="20"/>
              </w:rPr>
            </w:pPr>
            <w:r w:rsidRPr="00B37C9D">
              <w:rPr>
                <w:sz w:val="20"/>
                <w:szCs w:val="20"/>
              </w:rPr>
              <w:t>Signaling aspects</w:t>
            </w:r>
          </w:p>
          <w:p w14:paraId="4E57E981" w14:textId="77777777" w:rsidR="00B37C9D" w:rsidRPr="00B37C9D" w:rsidRDefault="00B37C9D" w:rsidP="00B37C9D">
            <w:pPr>
              <w:pStyle w:val="B1"/>
            </w:pPr>
            <w:r w:rsidRPr="00B37C9D">
              <w:t>-</w:t>
            </w:r>
            <w:r w:rsidRPr="00B37C9D">
              <w:tab/>
              <w:t>TS38.101-2 defines three frequency separation classes</w:t>
            </w:r>
          </w:p>
          <w:p w14:paraId="1DA5DAF9" w14:textId="77777777" w:rsidR="00B37C9D" w:rsidRPr="00B37C9D" w:rsidRDefault="00B37C9D" w:rsidP="00B37C9D">
            <w:pPr>
              <w:pStyle w:val="B2"/>
            </w:pPr>
            <w:r w:rsidRPr="00B37C9D">
              <w:t>-</w:t>
            </w:r>
            <w:r w:rsidRPr="00B37C9D">
              <w:tab/>
              <w:t xml:space="preserve">The UE can signal </w:t>
            </w:r>
            <w:proofErr w:type="spellStart"/>
            <w:r w:rsidRPr="00B37C9D">
              <w:t>intraBandFreqSeparationDL</w:t>
            </w:r>
            <w:proofErr w:type="spellEnd"/>
            <w:r w:rsidRPr="00B37C9D">
              <w:t xml:space="preserve"> and </w:t>
            </w:r>
            <w:proofErr w:type="spellStart"/>
            <w:r w:rsidRPr="00B37C9D">
              <w:t>intraBandFreqSeparationUL</w:t>
            </w:r>
            <w:proofErr w:type="spellEnd"/>
            <w:r w:rsidRPr="00B37C9D">
              <w:t xml:space="preserve"> separately [see TS38.306]</w:t>
            </w:r>
          </w:p>
          <w:p w14:paraId="7ECE4584" w14:textId="77777777" w:rsidR="00B37C9D" w:rsidRPr="00B37C9D" w:rsidRDefault="00B37C9D" w:rsidP="00B37C9D">
            <w:pPr>
              <w:pStyle w:val="B1"/>
            </w:pPr>
            <w:r w:rsidRPr="00B37C9D">
              <w:t>-</w:t>
            </w:r>
            <w:r w:rsidRPr="00B37C9D">
              <w:tab/>
              <w:t>Frequency separation classes I, II, III are applicable for FR2 UL CA (simultaneous uplink operation) in Rel-16</w:t>
            </w:r>
          </w:p>
          <w:p w14:paraId="715A08F4" w14:textId="7AFD5059" w:rsidR="00B37C9D" w:rsidRDefault="00B37C9D" w:rsidP="00B37C9D">
            <w:pPr>
              <w:pStyle w:val="B2"/>
            </w:pPr>
            <w:r w:rsidRPr="00B37C9D">
              <w:t>-</w:t>
            </w:r>
            <w:r w:rsidRPr="00B37C9D">
              <w:tab/>
              <w:t>Whether Fs ≤ 2400 MHz can be applicable to FR2 UL CA with non-simultaneous uplink operation is FFS</w:t>
            </w:r>
          </w:p>
        </w:tc>
      </w:tr>
    </w:tbl>
    <w:p w14:paraId="168004DC" w14:textId="77777777" w:rsidR="00B37C9D" w:rsidRDefault="00B37C9D" w:rsidP="00CB4975"/>
    <w:p w14:paraId="2AAC5EA7" w14:textId="33F2D528" w:rsidR="004169CB" w:rsidRDefault="00FF0621" w:rsidP="00CB4975">
      <w:r>
        <w:t xml:space="preserve">This contribution provides </w:t>
      </w:r>
      <w:r w:rsidR="001F63FD">
        <w:t>further</w:t>
      </w:r>
      <w:r>
        <w:t xml:space="preserve"> analysis to confirm the feasibility of carrier switching to support non-simultaneous uplink of non-contiguous carriers.</w:t>
      </w:r>
    </w:p>
    <w:p w14:paraId="3A67921B" w14:textId="5FCD5D11" w:rsidR="008E7986" w:rsidRDefault="008E7986" w:rsidP="008E7986">
      <w:pPr>
        <w:pStyle w:val="Heading1"/>
      </w:pPr>
      <w:r>
        <w:lastRenderedPageBreak/>
        <w:t>2</w:t>
      </w:r>
      <w:r>
        <w:tab/>
      </w:r>
      <w:r w:rsidR="00FF0621">
        <w:t>Discussion</w:t>
      </w:r>
      <w:r>
        <w:t xml:space="preserve"> </w:t>
      </w:r>
    </w:p>
    <w:p w14:paraId="552FB8CE" w14:textId="3F05B48D" w:rsidR="00A368D7" w:rsidRDefault="00A368D7" w:rsidP="00E72324">
      <w:r>
        <w:t xml:space="preserve">There are three major benefits of non-simultaneous UL for </w:t>
      </w:r>
      <w:r w:rsidR="008332EE">
        <w:t>inter-band</w:t>
      </w:r>
      <w:r>
        <w:t xml:space="preserve"> CA in FR2:  the retention of the same link budget as the contiguous UL CA case in Rel-15, the reduction in complexity of the UE RF architecture to support a band combination with greater complexity, and the flexibility for UL load balancing across non-contiguous spectrum.</w:t>
      </w:r>
    </w:p>
    <w:p w14:paraId="5BEA570E" w14:textId="77777777" w:rsidR="00A368D7" w:rsidRDefault="00A368D7" w:rsidP="00E72324"/>
    <w:p w14:paraId="58EC6534" w14:textId="1DBCF417" w:rsidR="008332EE" w:rsidRDefault="008716A0" w:rsidP="00E72324">
      <w:r>
        <w:t>T</w:t>
      </w:r>
      <w:r w:rsidR="008332EE">
        <w:t xml:space="preserve">he </w:t>
      </w:r>
      <w:r>
        <w:t>inter-band UL CA architecture</w:t>
      </w:r>
      <w:r w:rsidR="00442BE6">
        <w:t xml:space="preserve"> for simultaneous Tx</w:t>
      </w:r>
      <w:r>
        <w:t xml:space="preserve"> is illustrated in Figure 1 below.</w:t>
      </w:r>
    </w:p>
    <w:p w14:paraId="2DE33DD1" w14:textId="0CEBF106" w:rsidR="008716A0" w:rsidRDefault="00442BE6" w:rsidP="008716A0">
      <w:pPr>
        <w:jc w:val="center"/>
      </w:pPr>
      <w:r w:rsidRPr="00442BE6">
        <w:rPr>
          <w:noProof/>
        </w:rPr>
        <w:drawing>
          <wp:inline distT="0" distB="0" distL="0" distR="0" wp14:anchorId="528A3E1B" wp14:editId="1C7D843A">
            <wp:extent cx="2628900" cy="1816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73D77" w14:textId="488E7F78" w:rsidR="008716A0" w:rsidRPr="004D3578" w:rsidRDefault="008716A0" w:rsidP="008716A0">
      <w:pPr>
        <w:pStyle w:val="TF"/>
      </w:pPr>
      <w:r w:rsidRPr="004D3578">
        <w:t xml:space="preserve">Figure </w:t>
      </w:r>
      <w:r>
        <w:t>1</w:t>
      </w:r>
      <w:r w:rsidRPr="004D3578">
        <w:t xml:space="preserve">: </w:t>
      </w:r>
      <w:r w:rsidR="00442BE6">
        <w:t xml:space="preserve">Inter-band UL </w:t>
      </w:r>
      <w:r>
        <w:t xml:space="preserve">CA architecture </w:t>
      </w:r>
      <w:r w:rsidR="00442BE6">
        <w:t>(simultaneous Tx)</w:t>
      </w:r>
    </w:p>
    <w:p w14:paraId="3A5211EE" w14:textId="77777777" w:rsidR="008716A0" w:rsidRDefault="008716A0" w:rsidP="00E72324"/>
    <w:p w14:paraId="6212B279" w14:textId="4D4F3621" w:rsidR="008716A0" w:rsidRDefault="008716A0" w:rsidP="00E72324">
      <w:r>
        <w:t>We observe that the two</w:t>
      </w:r>
      <w:r w:rsidR="00442BE6">
        <w:t xml:space="preserve"> PAs will generate reverse intermodulation </w:t>
      </w:r>
      <w:proofErr w:type="gramStart"/>
      <w:r w:rsidR="00442BE6">
        <w:t>products;  the</w:t>
      </w:r>
      <w:proofErr w:type="gramEnd"/>
      <w:r w:rsidR="00442BE6">
        <w:t xml:space="preserve"> strongest coupling mechanism is expected to be the antenna array.  If the design uses collocated arrays, as has been the assumption in the multi-band framework, then the isolation between the arrays is not expected to be significant.  If the design uses </w:t>
      </w:r>
      <w:proofErr w:type="gramStart"/>
      <w:r w:rsidR="00442BE6">
        <w:t>non collocated</w:t>
      </w:r>
      <w:proofErr w:type="gramEnd"/>
      <w:r w:rsidR="00442BE6">
        <w:t xml:space="preserve"> arrays, or even separate antenna panels for the UL CCs, then the design may not be able to support some CA combinations (such as the LB+LB case), or it may not be compliant with all Rel-16 specifications (since multi-panel operation is no longer in the scope of Rel-16 RAN1 work).  Thus, with a strong coupling mechanism for reverse IMD, the inter-band UL CA scenario in FR2 begins to resemble </w:t>
      </w:r>
      <w:r w:rsidR="00961B32">
        <w:t>similar challenges we have seen with band 41/n41 EN-DC.</w:t>
      </w:r>
      <w:r w:rsidR="00442BE6">
        <w:t xml:space="preserve"> </w:t>
      </w:r>
    </w:p>
    <w:p w14:paraId="3F7206F7" w14:textId="77777777" w:rsidR="008716A0" w:rsidRDefault="008716A0" w:rsidP="00E72324"/>
    <w:p w14:paraId="2671969B" w14:textId="0130B673" w:rsidR="00286DCB" w:rsidRDefault="00286DCB" w:rsidP="00E72324">
      <w:r>
        <w:t xml:space="preserve">In addition to </w:t>
      </w:r>
      <w:r w:rsidR="00961B32">
        <w:t>the need to increase</w:t>
      </w:r>
      <w:r>
        <w:t xml:space="preserve"> MPR</w:t>
      </w:r>
      <w:r w:rsidR="00961B32">
        <w:t xml:space="preserve"> to reduce the magnitude of the intermodulation products</w:t>
      </w:r>
      <w:r>
        <w:t xml:space="preserve">, simultaneous </w:t>
      </w:r>
      <w:r w:rsidR="00961B32">
        <w:t>inter-band</w:t>
      </w:r>
      <w:r>
        <w:t xml:space="preserve"> UL allocations reduce the PSD level received by the base station, further exacerbating the UL link budget.  In an example with two </w:t>
      </w:r>
      <w:r w:rsidR="00961B32">
        <w:t>inter-band</w:t>
      </w:r>
      <w:r>
        <w:t xml:space="preserve"> UL CCs of equal bandwidth and full allocation, the non-simultaneous UE enjoys a </w:t>
      </w:r>
      <w:proofErr w:type="gramStart"/>
      <w:r>
        <w:t>3 dB</w:t>
      </w:r>
      <w:proofErr w:type="gramEnd"/>
      <w:r>
        <w:t xml:space="preserve"> advantage over the simultaneous UE in terms of the received PSD level at the base station. </w:t>
      </w:r>
    </w:p>
    <w:p w14:paraId="454C61E9" w14:textId="77777777" w:rsidR="00286DCB" w:rsidRDefault="00286DCB" w:rsidP="00E72324"/>
    <w:p w14:paraId="45985C51" w14:textId="10799062" w:rsidR="001F5A79" w:rsidRDefault="00166117" w:rsidP="00E72324">
      <w:r>
        <w:t xml:space="preserve">Referring to the alternative mechanisms to enable the non-simultaneous UL feature, we observe that Alt. 1 has the benefit of maintaining all DL BWPs active, while the UL BWPs of selected CCs are switched by deactivate-activate operations.  In fact, a procedure to </w:t>
      </w:r>
      <w:r w:rsidR="00F02A6C">
        <w:t xml:space="preserve">trigger multiple BWP switching actions simultaneously has been agreed by RAN4 RRM in </w:t>
      </w:r>
      <w:r w:rsidR="00F02A6C">
        <w:fldChar w:fldCharType="begin"/>
      </w:r>
      <w:r w:rsidR="00F02A6C">
        <w:instrText xml:space="preserve"> REF _Ref24085754 \r \h </w:instrText>
      </w:r>
      <w:r w:rsidR="00F02A6C">
        <w:fldChar w:fldCharType="separate"/>
      </w:r>
      <w:r w:rsidR="008A7163">
        <w:t>[4]</w:t>
      </w:r>
      <w:r w:rsidR="00F02A6C">
        <w:fldChar w:fldCharType="end"/>
      </w:r>
      <w:r w:rsidR="00F02A6C">
        <w:t>.</w:t>
      </w:r>
    </w:p>
    <w:p w14:paraId="57A45D72" w14:textId="77777777" w:rsidR="00286DCB" w:rsidRDefault="00286DCB" w:rsidP="00E72324"/>
    <w:p w14:paraId="57A1C78A" w14:textId="3400C940" w:rsidR="00286DCB" w:rsidRDefault="00286DCB" w:rsidP="00E72324">
      <w:r>
        <w:t xml:space="preserve">Based on the description of the feature in </w:t>
      </w:r>
      <w:r w:rsidR="008A7163">
        <w:fldChar w:fldCharType="begin"/>
      </w:r>
      <w:r w:rsidR="008A7163">
        <w:instrText xml:space="preserve"> REF _Ref24091358 \r \h </w:instrText>
      </w:r>
      <w:r w:rsidR="008A7163">
        <w:fldChar w:fldCharType="separate"/>
      </w:r>
      <w:r w:rsidR="008A7163">
        <w:t>[5]</w:t>
      </w:r>
      <w:r w:rsidR="008A7163">
        <w:fldChar w:fldCharType="end"/>
      </w:r>
      <w:r w:rsidR="008A7163">
        <w:t xml:space="preserve"> </w:t>
      </w:r>
      <w:r>
        <w:t xml:space="preserve">and </w:t>
      </w:r>
      <w:r>
        <w:fldChar w:fldCharType="begin"/>
      </w:r>
      <w:r>
        <w:instrText xml:space="preserve"> REF _Ref24086104 \r \h </w:instrText>
      </w:r>
      <w:r>
        <w:fldChar w:fldCharType="separate"/>
      </w:r>
      <w:r w:rsidR="008A7163">
        <w:t>[6]</w:t>
      </w:r>
      <w:r>
        <w:fldChar w:fldCharType="end"/>
      </w:r>
      <w:r>
        <w:t>, it is proposed to confirm the feasibility of the feature.</w:t>
      </w:r>
    </w:p>
    <w:p w14:paraId="75992FD4" w14:textId="77777777" w:rsidR="000F7D32" w:rsidRDefault="000F7D32" w:rsidP="00E72324"/>
    <w:p w14:paraId="64DC3C07" w14:textId="59EC0A26" w:rsidR="000C087E" w:rsidRDefault="000C087E" w:rsidP="000C087E">
      <w:pPr>
        <w:pStyle w:val="Proposal"/>
      </w:pPr>
      <w:bookmarkStart w:id="1" w:name="_Toc20901664"/>
      <w:bookmarkStart w:id="2" w:name="_Toc20901674"/>
      <w:bookmarkStart w:id="3" w:name="_Toc20907283"/>
      <w:bookmarkStart w:id="4" w:name="_Toc20907975"/>
      <w:bookmarkStart w:id="5" w:name="_Toc20908025"/>
      <w:bookmarkStart w:id="6" w:name="_Toc24084358"/>
      <w:bookmarkStart w:id="7" w:name="_Toc24086158"/>
      <w:bookmarkStart w:id="8" w:name="_Toc24087355"/>
      <w:bookmarkStart w:id="9" w:name="_Toc24087832"/>
      <w:bookmarkStart w:id="10" w:name="_Toc24087903"/>
      <w:bookmarkStart w:id="11" w:name="_Toc24091413"/>
      <w:r>
        <w:t>Proposal 1:</w:t>
      </w:r>
      <w:r>
        <w:tab/>
      </w:r>
      <w:bookmarkEnd w:id="1"/>
      <w:bookmarkEnd w:id="2"/>
      <w:bookmarkEnd w:id="3"/>
      <w:bookmarkEnd w:id="4"/>
      <w:bookmarkEnd w:id="5"/>
      <w:bookmarkEnd w:id="6"/>
      <w:r>
        <w:t>For CA scenarios FR1 (</w:t>
      </w:r>
      <w:proofErr w:type="spellStart"/>
      <w:r>
        <w:t>PCell</w:t>
      </w:r>
      <w:proofErr w:type="spellEnd"/>
      <w:r>
        <w:t>) + FR2 (</w:t>
      </w:r>
      <w:proofErr w:type="spellStart"/>
      <w:r>
        <w:t>SCells</w:t>
      </w:r>
      <w:proofErr w:type="spellEnd"/>
      <w:r>
        <w:t xml:space="preserve">), </w:t>
      </w:r>
      <w:r w:rsidRPr="00286DCB">
        <w:t xml:space="preserve">RAN4 </w:t>
      </w:r>
      <w:r>
        <w:t>confirms</w:t>
      </w:r>
      <w:r w:rsidRPr="00286DCB">
        <w:t xml:space="preserve"> the </w:t>
      </w:r>
      <w:bookmarkEnd w:id="7"/>
      <w:r>
        <w:t>feasibility of n</w:t>
      </w:r>
      <w:r w:rsidRPr="00DB7B55">
        <w:t>on-simultaneous Tx for FR2 int</w:t>
      </w:r>
      <w:r>
        <w:t>er</w:t>
      </w:r>
      <w:r w:rsidRPr="00DB7B55">
        <w:t>-band UL CA</w:t>
      </w:r>
      <w:r>
        <w:t xml:space="preserve"> and agrees to introduce a capability for the UE indicate to the network that it only supports non-simultaneous UL operation in inter-band UL CA.</w:t>
      </w:r>
      <w:bookmarkEnd w:id="8"/>
      <w:bookmarkEnd w:id="9"/>
      <w:bookmarkEnd w:id="10"/>
      <w:bookmarkEnd w:id="11"/>
    </w:p>
    <w:p w14:paraId="06B601C4" w14:textId="50647513" w:rsidR="000C087E" w:rsidRDefault="000C087E" w:rsidP="000C087E">
      <w:r>
        <w:t xml:space="preserve">Referring to the alternative mechanisms to enable the non-simultaneous UL feature, we observe that Alt. 1 has the benefit of maintaining all DL BWPs active, while the UL BWPs of selected CCs are </w:t>
      </w:r>
      <w:r>
        <w:lastRenderedPageBreak/>
        <w:t xml:space="preserve">switched by deactivate-activate operations.  In fact, a procedure to trigger multiple BWP switching actions simultaneously has been agreed by RAN4 RRM in </w:t>
      </w:r>
      <w:r>
        <w:fldChar w:fldCharType="begin"/>
      </w:r>
      <w:r>
        <w:instrText xml:space="preserve"> REF _Ref24085754 \r \h </w:instrText>
      </w:r>
      <w:r>
        <w:fldChar w:fldCharType="separate"/>
      </w:r>
      <w:r w:rsidR="008A7163">
        <w:t>[4]</w:t>
      </w:r>
      <w:r>
        <w:fldChar w:fldCharType="end"/>
      </w:r>
      <w:r>
        <w:t>.</w:t>
      </w:r>
    </w:p>
    <w:p w14:paraId="0F6E8317" w14:textId="77777777" w:rsidR="000C087E" w:rsidRDefault="000C087E" w:rsidP="000C087E">
      <w:pPr>
        <w:pStyle w:val="Proposal"/>
        <w:rPr>
          <w:lang w:val="en-US"/>
        </w:rPr>
      </w:pPr>
    </w:p>
    <w:p w14:paraId="1DA7B664" w14:textId="77777777" w:rsidR="000C087E" w:rsidRDefault="000C087E" w:rsidP="000C087E">
      <w:pPr>
        <w:pStyle w:val="Proposal"/>
      </w:pPr>
      <w:bookmarkStart w:id="12" w:name="_Toc24087356"/>
      <w:bookmarkStart w:id="13" w:name="_Toc24087833"/>
      <w:bookmarkStart w:id="14" w:name="_Toc24087904"/>
      <w:bookmarkStart w:id="15" w:name="_Toc24091414"/>
      <w:r>
        <w:t>Proposal 2:</w:t>
      </w:r>
      <w:r>
        <w:tab/>
        <w:t>Multiple BWP switching is selected as the mechanism to enable non-simultaneous UL for CA scenarios FR1 (</w:t>
      </w:r>
      <w:proofErr w:type="spellStart"/>
      <w:r>
        <w:t>PCell</w:t>
      </w:r>
      <w:proofErr w:type="spellEnd"/>
      <w:r>
        <w:t>) + FR2 (</w:t>
      </w:r>
      <w:proofErr w:type="spellStart"/>
      <w:r>
        <w:t>SCells</w:t>
      </w:r>
      <w:proofErr w:type="spellEnd"/>
      <w:r>
        <w:t>).  The UE types and switching times from the Rel-15 BWP switching framework can be reused.</w:t>
      </w:r>
      <w:bookmarkEnd w:id="12"/>
      <w:bookmarkEnd w:id="13"/>
      <w:bookmarkEnd w:id="14"/>
      <w:bookmarkEnd w:id="15"/>
    </w:p>
    <w:p w14:paraId="460CD42C" w14:textId="10D4F733" w:rsidR="000C087E" w:rsidRDefault="000C087E" w:rsidP="000C087E">
      <w:bookmarkStart w:id="16" w:name="_Toc24087357"/>
      <w:r>
        <w:t xml:space="preserve">The remaining effort for this feature involves identifying which single-carrier and contiguous CA requirements to reuse for the non-simultaneous UL capable UEs and to finalize the interruption requirements in RRM, according to the Rel-16 NR RRM enhancement work item </w:t>
      </w:r>
      <w:r>
        <w:fldChar w:fldCharType="begin"/>
      </w:r>
      <w:r>
        <w:instrText xml:space="preserve"> REF _Ref24087818 \r \h </w:instrText>
      </w:r>
      <w:r>
        <w:fldChar w:fldCharType="separate"/>
      </w:r>
      <w:r w:rsidR="008A7163">
        <w:t>[5]</w:t>
      </w:r>
      <w:r>
        <w:fldChar w:fldCharType="end"/>
      </w:r>
      <w:r>
        <w:t xml:space="preserve"> and the associated work plan </w:t>
      </w:r>
      <w:r>
        <w:fldChar w:fldCharType="begin"/>
      </w:r>
      <w:r>
        <w:instrText xml:space="preserve"> REF _Ref24087824 \r \h </w:instrText>
      </w:r>
      <w:r>
        <w:fldChar w:fldCharType="separate"/>
      </w:r>
      <w:r w:rsidR="008A7163">
        <w:t>[8]</w:t>
      </w:r>
      <w:r>
        <w:fldChar w:fldCharType="end"/>
      </w:r>
      <w:r>
        <w:t>.</w:t>
      </w:r>
    </w:p>
    <w:p w14:paraId="75347E83" w14:textId="77777777" w:rsidR="000C087E" w:rsidRDefault="000C087E" w:rsidP="000C087E"/>
    <w:p w14:paraId="79E66252" w14:textId="77777777" w:rsidR="000C087E" w:rsidRDefault="000C087E" w:rsidP="000C087E">
      <w:pPr>
        <w:pStyle w:val="Proposal"/>
      </w:pPr>
      <w:bookmarkStart w:id="17" w:name="_Toc24087834"/>
      <w:bookmarkStart w:id="18" w:name="_Toc24087905"/>
      <w:bookmarkStart w:id="19" w:name="_Toc24091415"/>
      <w:r>
        <w:t>Proposal 3:</w:t>
      </w:r>
      <w:r>
        <w:tab/>
        <w:t>Further effort on the related interruption requirements can proceed according to the Rel-16 NR RRM work item scope and associated work plan.</w:t>
      </w:r>
      <w:bookmarkEnd w:id="16"/>
      <w:bookmarkEnd w:id="17"/>
      <w:bookmarkEnd w:id="18"/>
      <w:bookmarkEnd w:id="19"/>
    </w:p>
    <w:p w14:paraId="4F4E3031" w14:textId="69B4412C" w:rsidR="000C087E" w:rsidRDefault="000C087E" w:rsidP="000C087E"/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371F8D31" w14:textId="5B661EEF" w:rsidR="00FF0621" w:rsidRDefault="00FF0621" w:rsidP="00FF0621">
      <w:r>
        <w:t>This contribution provided the analysis to confirm the feasibility of carrier switching to support non-simultaneous upl</w:t>
      </w:r>
      <w:r w:rsidR="001F63FD">
        <w:t>ink of non-contiguous carriers</w:t>
      </w:r>
      <w:r>
        <w:t>.  The following observations and proposals have been made:</w:t>
      </w:r>
    </w:p>
    <w:p w14:paraId="40D4169E" w14:textId="77777777" w:rsidR="00DF3F59" w:rsidRDefault="00DF3F59" w:rsidP="00FF0621"/>
    <w:p w14:paraId="4FBB4955" w14:textId="477667B3" w:rsidR="005973BE" w:rsidRDefault="005973BE" w:rsidP="00E72324"/>
    <w:p w14:paraId="70A73B90" w14:textId="77777777" w:rsidR="008A7163" w:rsidRDefault="0062595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8A7163">
        <w:rPr>
          <w:noProof/>
        </w:rPr>
        <w:t>Proposal 1:</w:t>
      </w:r>
      <w:r w:rsidR="008A7163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 w:rsidR="008A7163">
        <w:rPr>
          <w:noProof/>
        </w:rPr>
        <w:t>For CA scenarios FR1 (PCell) + FR2 (SCells), RAN4 confirms the feasibility of non-simultaneous Tx for FR2 inter-band UL CA and agrees to introduce a capability for the UE indicate to the network that it only supports non-simultaneous UL operation in inter-band UL CA.</w:t>
      </w:r>
    </w:p>
    <w:p w14:paraId="5AA4E970" w14:textId="77777777" w:rsidR="008A7163" w:rsidRDefault="008A7163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>
        <w:rPr>
          <w:noProof/>
        </w:rPr>
        <w:t>Multiple BWP switching is selected as the mechanism to enable non-simultaneous UL for CA scenarios FR1 (PCell) + FR2 (SCells).  The UE types and switching times from the Rel-15 BWP switching framework can be reused.</w:t>
      </w:r>
    </w:p>
    <w:p w14:paraId="039C5DB6" w14:textId="77777777" w:rsidR="008A7163" w:rsidRDefault="008A7163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>
        <w:rPr>
          <w:noProof/>
        </w:rPr>
        <w:t>Further effort on the related interruption requirements can proceed according to the Rel-16 NR RRM work item scope and associated work plan.</w:t>
      </w:r>
    </w:p>
    <w:p w14:paraId="769CC3B8" w14:textId="116F29E7" w:rsidR="0062595A" w:rsidRDefault="0062595A" w:rsidP="00E72324">
      <w:r>
        <w:rPr>
          <w:b/>
          <w:bCs/>
        </w:rPr>
        <w:fldChar w:fldCharType="end"/>
      </w:r>
    </w:p>
    <w:p w14:paraId="5D2DDC34" w14:textId="77777777" w:rsidR="005E69AE" w:rsidRDefault="005E69AE" w:rsidP="005E69AE">
      <w:pPr>
        <w:pStyle w:val="Heading1"/>
      </w:pPr>
      <w:bookmarkStart w:id="20" w:name="_GoBack"/>
      <w:bookmarkEnd w:id="20"/>
      <w:r>
        <w:t>4</w:t>
      </w:r>
      <w:r>
        <w:tab/>
        <w:t>References</w:t>
      </w:r>
    </w:p>
    <w:p w14:paraId="6AAA4C93" w14:textId="77777777" w:rsidR="00CB4975" w:rsidRDefault="00CB4975" w:rsidP="00CB4975">
      <w:pPr>
        <w:pStyle w:val="EX"/>
        <w:numPr>
          <w:ilvl w:val="0"/>
          <w:numId w:val="5"/>
        </w:numPr>
      </w:pPr>
      <w:bookmarkStart w:id="21" w:name="_Ref16575941"/>
      <w:bookmarkStart w:id="22" w:name="_Ref16557425"/>
      <w:r w:rsidRPr="008E2E1C">
        <w:t>RP-190761</w:t>
      </w:r>
      <w:r>
        <w:t>, “</w:t>
      </w:r>
      <w:r w:rsidRPr="008E2E1C">
        <w:t>NR RF requirements for FR2</w:t>
      </w:r>
      <w:r>
        <w:t>”</w:t>
      </w:r>
      <w:bookmarkEnd w:id="21"/>
    </w:p>
    <w:p w14:paraId="6B7EBFB2" w14:textId="3A474688" w:rsidR="00CB4975" w:rsidRDefault="00CB4975" w:rsidP="00CB4975">
      <w:pPr>
        <w:pStyle w:val="EX"/>
        <w:numPr>
          <w:ilvl w:val="0"/>
          <w:numId w:val="5"/>
        </w:numPr>
      </w:pPr>
      <w:bookmarkStart w:id="23" w:name="_Ref16576366"/>
      <w:r w:rsidRPr="004B351C">
        <w:t>3GPP TS38.101-2, “NR; User Equipment (UE) radio transmission and reception; Part 2: Range 2 Standalone”</w:t>
      </w:r>
      <w:bookmarkEnd w:id="22"/>
      <w:bookmarkEnd w:id="23"/>
    </w:p>
    <w:p w14:paraId="41818856" w14:textId="3E1CDDA0" w:rsidR="006E7AE7" w:rsidRDefault="00E93A86" w:rsidP="00CB4975">
      <w:pPr>
        <w:pStyle w:val="EX"/>
        <w:numPr>
          <w:ilvl w:val="0"/>
          <w:numId w:val="5"/>
        </w:numPr>
      </w:pPr>
      <w:bookmarkStart w:id="24" w:name="_Ref24083416"/>
      <w:r w:rsidRPr="00E93A86">
        <w:t>R4-1913055</w:t>
      </w:r>
      <w:r>
        <w:t>, “</w:t>
      </w:r>
      <w:r w:rsidRPr="00E93A86">
        <w:t>WF on non-contiguous UL CA in FR2</w:t>
      </w:r>
      <w:r>
        <w:t>,” Apple Inc., 3GPP RAN4 #92bis, October 2019</w:t>
      </w:r>
      <w:bookmarkEnd w:id="24"/>
    </w:p>
    <w:p w14:paraId="60587F6A" w14:textId="769F8049" w:rsidR="00E93A86" w:rsidRDefault="00E93A86" w:rsidP="00CB4975">
      <w:pPr>
        <w:pStyle w:val="EX"/>
        <w:numPr>
          <w:ilvl w:val="0"/>
          <w:numId w:val="5"/>
        </w:numPr>
      </w:pPr>
      <w:bookmarkStart w:id="25" w:name="_Ref24085754"/>
      <w:r w:rsidRPr="00E93A86">
        <w:t>R4-1912837</w:t>
      </w:r>
      <w:r>
        <w:t>, “</w:t>
      </w:r>
      <w:r w:rsidR="00F02A6C">
        <w:t xml:space="preserve">Way forward on R16 NR RRM </w:t>
      </w:r>
      <w:proofErr w:type="spellStart"/>
      <w:r w:rsidR="00F02A6C">
        <w:t>enh</w:t>
      </w:r>
      <w:proofErr w:type="spellEnd"/>
      <w:r w:rsidR="00F02A6C">
        <w:t xml:space="preserve"> </w:t>
      </w:r>
      <w:r w:rsidRPr="00E93A86">
        <w:t>BWP switching on multiple CCs</w:t>
      </w:r>
      <w:r>
        <w:t>,” Ericsson, 3GPP RAN4 #92bis, October 2019</w:t>
      </w:r>
      <w:bookmarkEnd w:id="25"/>
    </w:p>
    <w:p w14:paraId="08A8F825" w14:textId="77777777" w:rsidR="008A7163" w:rsidRDefault="008A7163" w:rsidP="008A7163">
      <w:pPr>
        <w:pStyle w:val="EX"/>
        <w:numPr>
          <w:ilvl w:val="0"/>
          <w:numId w:val="5"/>
        </w:numPr>
      </w:pPr>
      <w:bookmarkStart w:id="26" w:name="_Ref24087818"/>
      <w:bookmarkStart w:id="27" w:name="_Ref24091358"/>
      <w:r w:rsidRPr="00F02A6C">
        <w:t>R4-1908013</w:t>
      </w:r>
      <w:r>
        <w:t>, “</w:t>
      </w:r>
      <w:r w:rsidRPr="00F02A6C">
        <w:t>Non-simultaneous transmission for intra-band non-contiguous UL CA in FR2</w:t>
      </w:r>
      <w:r>
        <w:t>,” Apple Inc., 3GPP RAN4 #92, August 2019</w:t>
      </w:r>
      <w:bookmarkEnd w:id="27"/>
    </w:p>
    <w:p w14:paraId="5544641B" w14:textId="77777777" w:rsidR="008A7163" w:rsidRDefault="008A7163" w:rsidP="008A7163">
      <w:pPr>
        <w:pStyle w:val="EX"/>
        <w:numPr>
          <w:ilvl w:val="0"/>
          <w:numId w:val="5"/>
        </w:numPr>
      </w:pPr>
      <w:bookmarkStart w:id="28" w:name="_Ref24086104"/>
      <w:r w:rsidRPr="00F555C2">
        <w:t>R4-1911512</w:t>
      </w:r>
      <w:r>
        <w:t>, “</w:t>
      </w:r>
      <w:r w:rsidRPr="00F555C2">
        <w:t>Carrier switching to enable non-simultaneous transmission for intra-band non-contiguous UL CA in FR2</w:t>
      </w:r>
      <w:r>
        <w:t>,” Apple Inc., 3GPP RAN4 #92bis, October 2019</w:t>
      </w:r>
      <w:bookmarkEnd w:id="28"/>
    </w:p>
    <w:p w14:paraId="5F266A96" w14:textId="77777777" w:rsidR="000C087E" w:rsidRDefault="000C087E" w:rsidP="000C087E">
      <w:pPr>
        <w:pStyle w:val="EX"/>
        <w:numPr>
          <w:ilvl w:val="0"/>
          <w:numId w:val="5"/>
        </w:numPr>
      </w:pPr>
      <w:r w:rsidRPr="004E7150">
        <w:t>RP-192157</w:t>
      </w:r>
      <w:r>
        <w:t>, “</w:t>
      </w:r>
      <w:r w:rsidRPr="004E7150">
        <w:t>Revised WID: NR RRM enhancement in R16</w:t>
      </w:r>
      <w:r>
        <w:t>,” Intel Corporation, 3GPP RAN #85, September 2019</w:t>
      </w:r>
      <w:bookmarkEnd w:id="26"/>
    </w:p>
    <w:p w14:paraId="5FD3F832" w14:textId="77777777" w:rsidR="000C087E" w:rsidRDefault="000C087E" w:rsidP="000C087E">
      <w:pPr>
        <w:pStyle w:val="EX"/>
        <w:numPr>
          <w:ilvl w:val="0"/>
          <w:numId w:val="5"/>
        </w:numPr>
      </w:pPr>
      <w:bookmarkStart w:id="29" w:name="_Ref24087824"/>
      <w:r w:rsidRPr="004E7150">
        <w:t>R4-1911049</w:t>
      </w:r>
      <w:r>
        <w:t>, “</w:t>
      </w:r>
      <w:r w:rsidRPr="004E7150">
        <w:t>Work plan of R16 RRM enhancement WI</w:t>
      </w:r>
      <w:r>
        <w:t xml:space="preserve">,” </w:t>
      </w:r>
      <w:r w:rsidRPr="004E7150">
        <w:t>Intel Corporation, Apple, ZTE</w:t>
      </w:r>
      <w:r>
        <w:t>, 3GPP RAN4 #92bis, October 2019</w:t>
      </w:r>
      <w:bookmarkEnd w:id="29"/>
    </w:p>
    <w:p w14:paraId="34E1AF6B" w14:textId="77777777" w:rsidR="000C087E" w:rsidRDefault="000C087E" w:rsidP="000C087E">
      <w:pPr>
        <w:pStyle w:val="EX"/>
        <w:numPr>
          <w:ilvl w:val="0"/>
          <w:numId w:val="0"/>
        </w:numPr>
      </w:pPr>
    </w:p>
    <w:bookmarkEnd w:id="0"/>
    <w:p w14:paraId="2C7BC95E" w14:textId="77777777" w:rsidR="00080512" w:rsidRDefault="00080512"/>
    <w:p w14:paraId="556A4E6D" w14:textId="77777777" w:rsidR="00FF0621" w:rsidRDefault="00FF0621"/>
    <w:sectPr w:rsidR="00FF0621" w:rsidSect="00114E2C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B6F2E" w14:textId="77777777" w:rsidR="00B21624" w:rsidRDefault="00B21624">
      <w:r>
        <w:separator/>
      </w:r>
    </w:p>
  </w:endnote>
  <w:endnote w:type="continuationSeparator" w:id="0">
    <w:p w14:paraId="4B566FBA" w14:textId="77777777" w:rsidR="00B21624" w:rsidRDefault="00B2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224B4" w14:textId="77777777" w:rsidR="00B21624" w:rsidRDefault="00B21624">
      <w:r>
        <w:separator/>
      </w:r>
    </w:p>
  </w:footnote>
  <w:footnote w:type="continuationSeparator" w:id="0">
    <w:p w14:paraId="5EDF9830" w14:textId="77777777" w:rsidR="00B21624" w:rsidRDefault="00B21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58A"/>
    <w:rsid w:val="00033397"/>
    <w:rsid w:val="00040095"/>
    <w:rsid w:val="00041868"/>
    <w:rsid w:val="00051834"/>
    <w:rsid w:val="00054A22"/>
    <w:rsid w:val="00062023"/>
    <w:rsid w:val="000655A6"/>
    <w:rsid w:val="00080512"/>
    <w:rsid w:val="000A365D"/>
    <w:rsid w:val="000A68F3"/>
    <w:rsid w:val="000C087E"/>
    <w:rsid w:val="000C47C3"/>
    <w:rsid w:val="000D58AB"/>
    <w:rsid w:val="000F7D32"/>
    <w:rsid w:val="00104BC6"/>
    <w:rsid w:val="001133A5"/>
    <w:rsid w:val="0011419C"/>
    <w:rsid w:val="00114E2C"/>
    <w:rsid w:val="0012619A"/>
    <w:rsid w:val="00133525"/>
    <w:rsid w:val="00166117"/>
    <w:rsid w:val="001A4C42"/>
    <w:rsid w:val="001C21C3"/>
    <w:rsid w:val="001D02C2"/>
    <w:rsid w:val="001F0C1D"/>
    <w:rsid w:val="001F1132"/>
    <w:rsid w:val="001F168B"/>
    <w:rsid w:val="001F5A79"/>
    <w:rsid w:val="001F63FD"/>
    <w:rsid w:val="002347A2"/>
    <w:rsid w:val="00247926"/>
    <w:rsid w:val="002675F0"/>
    <w:rsid w:val="00271644"/>
    <w:rsid w:val="0027462C"/>
    <w:rsid w:val="00276EE4"/>
    <w:rsid w:val="00285732"/>
    <w:rsid w:val="00286DCB"/>
    <w:rsid w:val="00286F1A"/>
    <w:rsid w:val="00290BFF"/>
    <w:rsid w:val="002B6339"/>
    <w:rsid w:val="002E00EE"/>
    <w:rsid w:val="002F2612"/>
    <w:rsid w:val="003172DC"/>
    <w:rsid w:val="00337522"/>
    <w:rsid w:val="0034052F"/>
    <w:rsid w:val="0035462D"/>
    <w:rsid w:val="00375192"/>
    <w:rsid w:val="003765B8"/>
    <w:rsid w:val="003A0483"/>
    <w:rsid w:val="003B772E"/>
    <w:rsid w:val="003C3971"/>
    <w:rsid w:val="003E62EA"/>
    <w:rsid w:val="003E7753"/>
    <w:rsid w:val="004169CB"/>
    <w:rsid w:val="00423334"/>
    <w:rsid w:val="004345EC"/>
    <w:rsid w:val="00442BE6"/>
    <w:rsid w:val="004826A9"/>
    <w:rsid w:val="004C1601"/>
    <w:rsid w:val="004D3578"/>
    <w:rsid w:val="004E213A"/>
    <w:rsid w:val="004E3D44"/>
    <w:rsid w:val="004F0988"/>
    <w:rsid w:val="004F3340"/>
    <w:rsid w:val="004F3E3D"/>
    <w:rsid w:val="0053388B"/>
    <w:rsid w:val="00534ABA"/>
    <w:rsid w:val="00535773"/>
    <w:rsid w:val="00543E6C"/>
    <w:rsid w:val="00565087"/>
    <w:rsid w:val="00572E14"/>
    <w:rsid w:val="005973BE"/>
    <w:rsid w:val="005A5986"/>
    <w:rsid w:val="005D2E01"/>
    <w:rsid w:val="005D7526"/>
    <w:rsid w:val="005E69AE"/>
    <w:rsid w:val="005F134F"/>
    <w:rsid w:val="00602AEA"/>
    <w:rsid w:val="00607E3C"/>
    <w:rsid w:val="00614FDF"/>
    <w:rsid w:val="006246A7"/>
    <w:rsid w:val="0062595A"/>
    <w:rsid w:val="00633DBF"/>
    <w:rsid w:val="0063543D"/>
    <w:rsid w:val="00647114"/>
    <w:rsid w:val="0065410B"/>
    <w:rsid w:val="006A323F"/>
    <w:rsid w:val="006B30D0"/>
    <w:rsid w:val="006C3D95"/>
    <w:rsid w:val="006E5C86"/>
    <w:rsid w:val="006E7AE7"/>
    <w:rsid w:val="00702213"/>
    <w:rsid w:val="00713C44"/>
    <w:rsid w:val="00730D61"/>
    <w:rsid w:val="00734A5B"/>
    <w:rsid w:val="0074026F"/>
    <w:rsid w:val="007429F6"/>
    <w:rsid w:val="00744E76"/>
    <w:rsid w:val="00752198"/>
    <w:rsid w:val="00753881"/>
    <w:rsid w:val="00774DA4"/>
    <w:rsid w:val="00781F0F"/>
    <w:rsid w:val="007B600E"/>
    <w:rsid w:val="007B670C"/>
    <w:rsid w:val="007F0F4A"/>
    <w:rsid w:val="008028A4"/>
    <w:rsid w:val="00820B25"/>
    <w:rsid w:val="00820F7F"/>
    <w:rsid w:val="008255BF"/>
    <w:rsid w:val="00830747"/>
    <w:rsid w:val="008332EE"/>
    <w:rsid w:val="008716A0"/>
    <w:rsid w:val="008768CA"/>
    <w:rsid w:val="00885567"/>
    <w:rsid w:val="008A7163"/>
    <w:rsid w:val="008C32C8"/>
    <w:rsid w:val="008C384C"/>
    <w:rsid w:val="008E7986"/>
    <w:rsid w:val="0090271F"/>
    <w:rsid w:val="00902E23"/>
    <w:rsid w:val="009114D7"/>
    <w:rsid w:val="0091348E"/>
    <w:rsid w:val="00916B3D"/>
    <w:rsid w:val="00917CCB"/>
    <w:rsid w:val="00942EC2"/>
    <w:rsid w:val="00961B32"/>
    <w:rsid w:val="00977B18"/>
    <w:rsid w:val="009F37B7"/>
    <w:rsid w:val="009F5E43"/>
    <w:rsid w:val="00A00460"/>
    <w:rsid w:val="00A10F02"/>
    <w:rsid w:val="00A164B4"/>
    <w:rsid w:val="00A205DD"/>
    <w:rsid w:val="00A26956"/>
    <w:rsid w:val="00A368D7"/>
    <w:rsid w:val="00A53724"/>
    <w:rsid w:val="00A70191"/>
    <w:rsid w:val="00A73129"/>
    <w:rsid w:val="00A82346"/>
    <w:rsid w:val="00A92BA1"/>
    <w:rsid w:val="00AC6BC6"/>
    <w:rsid w:val="00AE2616"/>
    <w:rsid w:val="00AE3797"/>
    <w:rsid w:val="00AE6C72"/>
    <w:rsid w:val="00B022E6"/>
    <w:rsid w:val="00B02A63"/>
    <w:rsid w:val="00B070F5"/>
    <w:rsid w:val="00B15449"/>
    <w:rsid w:val="00B21624"/>
    <w:rsid w:val="00B36C4A"/>
    <w:rsid w:val="00B37C9D"/>
    <w:rsid w:val="00B93086"/>
    <w:rsid w:val="00BA19ED"/>
    <w:rsid w:val="00BA300B"/>
    <w:rsid w:val="00BA4B8D"/>
    <w:rsid w:val="00BB3C4F"/>
    <w:rsid w:val="00BC0F7D"/>
    <w:rsid w:val="00BC3468"/>
    <w:rsid w:val="00BE3255"/>
    <w:rsid w:val="00BF128E"/>
    <w:rsid w:val="00C1496A"/>
    <w:rsid w:val="00C33079"/>
    <w:rsid w:val="00C35858"/>
    <w:rsid w:val="00C45231"/>
    <w:rsid w:val="00C72833"/>
    <w:rsid w:val="00C80F1D"/>
    <w:rsid w:val="00C91CE0"/>
    <w:rsid w:val="00C93F40"/>
    <w:rsid w:val="00CA261A"/>
    <w:rsid w:val="00CA3D0C"/>
    <w:rsid w:val="00CA7253"/>
    <w:rsid w:val="00CB4975"/>
    <w:rsid w:val="00CE00B0"/>
    <w:rsid w:val="00CE4E6F"/>
    <w:rsid w:val="00CF20E3"/>
    <w:rsid w:val="00D309CC"/>
    <w:rsid w:val="00D46431"/>
    <w:rsid w:val="00D56A52"/>
    <w:rsid w:val="00D57972"/>
    <w:rsid w:val="00D675A9"/>
    <w:rsid w:val="00D738D6"/>
    <w:rsid w:val="00D75169"/>
    <w:rsid w:val="00D755EB"/>
    <w:rsid w:val="00D87E00"/>
    <w:rsid w:val="00D9134D"/>
    <w:rsid w:val="00DA7A03"/>
    <w:rsid w:val="00DB1818"/>
    <w:rsid w:val="00DC0C0D"/>
    <w:rsid w:val="00DC309B"/>
    <w:rsid w:val="00DC4DA2"/>
    <w:rsid w:val="00DD4C17"/>
    <w:rsid w:val="00DE4DA7"/>
    <w:rsid w:val="00DF2B1F"/>
    <w:rsid w:val="00DF3064"/>
    <w:rsid w:val="00DF3F59"/>
    <w:rsid w:val="00DF6189"/>
    <w:rsid w:val="00DF62CD"/>
    <w:rsid w:val="00E16509"/>
    <w:rsid w:val="00E44582"/>
    <w:rsid w:val="00E52814"/>
    <w:rsid w:val="00E72324"/>
    <w:rsid w:val="00E72ABE"/>
    <w:rsid w:val="00E77645"/>
    <w:rsid w:val="00E93A86"/>
    <w:rsid w:val="00EC4A25"/>
    <w:rsid w:val="00ED770E"/>
    <w:rsid w:val="00EE5AA7"/>
    <w:rsid w:val="00F025A2"/>
    <w:rsid w:val="00F02A6C"/>
    <w:rsid w:val="00F04712"/>
    <w:rsid w:val="00F21311"/>
    <w:rsid w:val="00F22EC7"/>
    <w:rsid w:val="00F325C8"/>
    <w:rsid w:val="00F62AEB"/>
    <w:rsid w:val="00F653B8"/>
    <w:rsid w:val="00F70647"/>
    <w:rsid w:val="00F70E65"/>
    <w:rsid w:val="00F73394"/>
    <w:rsid w:val="00FA1266"/>
    <w:rsid w:val="00FC1192"/>
    <w:rsid w:val="00FF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0E65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/>
    </w:rPr>
  </w:style>
  <w:style w:type="paragraph" w:customStyle="1" w:styleId="FP">
    <w:name w:val="FP"/>
    <w:basedOn w:val="Normal"/>
    <w:rPr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spacing w:after="180"/>
      <w:ind w:left="568" w:hanging="284"/>
    </w:pPr>
    <w:rPr>
      <w:sz w:val="20"/>
      <w:szCs w:val="20"/>
      <w:lang w:val="en-GB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A205DD"/>
    <w:pPr>
      <w:spacing w:before="100" w:beforeAutospacing="1" w:after="100" w:afterAutospacing="1"/>
    </w:pPr>
  </w:style>
  <w:style w:type="character" w:customStyle="1" w:styleId="apple-tab-span">
    <w:name w:val="apple-tab-span"/>
    <w:basedOn w:val="DefaultParagraphFont"/>
    <w:rsid w:val="00F70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6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5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5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F1281-6DE3-F646-89CF-6D9EB622B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</TotalTime>
  <Pages>5</Pages>
  <Words>1320</Words>
  <Characters>7525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8828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Toliy Ioffe</cp:lastModifiedBy>
  <cp:revision>9</cp:revision>
  <cp:lastPrinted>2019-02-25T14:05:00Z</cp:lastPrinted>
  <dcterms:created xsi:type="dcterms:W3CDTF">2019-11-08T14:16:00Z</dcterms:created>
  <dcterms:modified xsi:type="dcterms:W3CDTF">2019-11-08T15:43:00Z</dcterms:modified>
  <cp:category/>
</cp:coreProperties>
</file>